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6CE1" w14:textId="77777777"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Unilabs Diagnostics k. s.</w:t>
      </w:r>
    </w:p>
    <w:p w14:paraId="7FA9C52F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 forenzní a lékařské genetiky</w:t>
      </w:r>
    </w:p>
    <w:p w14:paraId="2EFE86EC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8141</w:t>
      </w:r>
    </w:p>
    <w:p w14:paraId="758AE678" w14:textId="11B270CB"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A30A98">
        <w:t xml:space="preserve"> 508/2023</w:t>
      </w:r>
    </w:p>
    <w:p w14:paraId="6CB88885" w14:textId="77777777"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15189:2013 </w:t>
      </w:r>
    </w:p>
    <w:p w14:paraId="7E5A4B20" w14:textId="762F5532" w:rsidR="005E67E8" w:rsidRPr="007B0E94" w:rsidRDefault="005E67E8" w:rsidP="005E67E8">
      <w:pPr>
        <w:spacing w:before="120"/>
        <w:ind w:left="142"/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7B0E94">
        <w:t>1.6.2024</w:t>
      </w:r>
    </w:p>
    <w:p w14:paraId="690111B8" w14:textId="77777777"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6911ACDD" w14:textId="77777777"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701"/>
        <w:gridCol w:w="2693"/>
        <w:gridCol w:w="1985"/>
        <w:gridCol w:w="992"/>
      </w:tblGrid>
      <w:tr w:rsidR="00174015" w14:paraId="54FBB613" w14:textId="77777777" w:rsidTr="00B10029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217F23" w14:textId="77777777"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2E174E4A" w14:textId="77777777"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F2327ED" w14:textId="77777777"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12BF8E09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9B8A810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461E1" w14:textId="77777777"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25FC7" w14:paraId="1F87C0D5" w14:textId="77777777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84DFBA" w14:textId="77777777" w:rsidR="00525FC7" w:rsidRPr="00525FC7" w:rsidRDefault="00525FC7" w:rsidP="00525FC7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5517F8" w14:paraId="24E37104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5FD7230" w14:textId="77777777" w:rsidR="005517F8" w:rsidRDefault="005517F8" w:rsidP="005517F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571267DD" w14:textId="77777777" w:rsidR="005517F8" w:rsidRPr="00AE7C03" w:rsidRDefault="005517F8" w:rsidP="009222CA">
            <w:pPr>
              <w:spacing w:before="0" w:after="0"/>
              <w:jc w:val="left"/>
              <w:rPr>
                <w:sz w:val="22"/>
                <w:szCs w:val="22"/>
              </w:rPr>
            </w:pPr>
            <w:r w:rsidRPr="00A97B1F">
              <w:t xml:space="preserve">Vyšetření variant </w:t>
            </w:r>
            <w:r>
              <w:t xml:space="preserve">germinálního </w:t>
            </w:r>
            <w:r w:rsidRPr="00A97B1F">
              <w:t>genomu</w:t>
            </w:r>
          </w:p>
        </w:tc>
        <w:tc>
          <w:tcPr>
            <w:tcW w:w="1701" w:type="dxa"/>
          </w:tcPr>
          <w:p w14:paraId="78276D9C" w14:textId="77777777" w:rsidR="005517F8" w:rsidRPr="00AE7C03" w:rsidRDefault="005517F8" w:rsidP="009222C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Real-</w:t>
            </w:r>
            <w:r w:rsidR="009222C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ime PCR</w:t>
            </w:r>
          </w:p>
        </w:tc>
        <w:tc>
          <w:tcPr>
            <w:tcW w:w="2693" w:type="dxa"/>
          </w:tcPr>
          <w:p w14:paraId="1BA50232" w14:textId="12E78499" w:rsidR="005517F8" w:rsidRDefault="00226CE5" w:rsidP="005517F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SOP-A, v5</w:t>
            </w:r>
            <w:r w:rsidR="009222CA">
              <w:rPr>
                <w:sz w:val="22"/>
                <w:szCs w:val="22"/>
              </w:rPr>
              <w:t>;</w:t>
            </w:r>
          </w:p>
          <w:p w14:paraId="2451E9D8" w14:textId="77777777" w:rsidR="005517F8" w:rsidRPr="00AE7C03" w:rsidRDefault="005517F8" w:rsidP="005517F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Real-Time PCR cykler</w:t>
            </w:r>
          </w:p>
        </w:tc>
        <w:tc>
          <w:tcPr>
            <w:tcW w:w="1985" w:type="dxa"/>
          </w:tcPr>
          <w:p w14:paraId="7584C75A" w14:textId="77777777" w:rsidR="005517F8" w:rsidRPr="005517F8" w:rsidRDefault="005517F8" w:rsidP="005517F8">
            <w:r>
              <w:t>Biologický materiál obsahující lidskou jadernou 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1E0B745" w14:textId="63D00675" w:rsidR="005517F8" w:rsidRPr="00EE357A" w:rsidRDefault="009222CA" w:rsidP="0020080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  <w:r w:rsidR="00792A15">
              <w:rPr>
                <w:sz w:val="22"/>
                <w:szCs w:val="22"/>
              </w:rPr>
              <w:t xml:space="preserve"> </w:t>
            </w:r>
          </w:p>
        </w:tc>
      </w:tr>
      <w:tr w:rsidR="005517F8" w14:paraId="50DCEDB2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4735A9B" w14:textId="77777777" w:rsidR="005517F8" w:rsidRDefault="005517F8" w:rsidP="005517F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1867C6F9" w14:textId="77777777" w:rsidR="005517F8" w:rsidRPr="00A97B1F" w:rsidRDefault="005517F8" w:rsidP="009222CA">
            <w:pPr>
              <w:jc w:val="left"/>
            </w:pPr>
            <w:r w:rsidRPr="00A97B1F">
              <w:t xml:space="preserve">Vyšetření variant </w:t>
            </w:r>
            <w:r>
              <w:t xml:space="preserve">somatického </w:t>
            </w:r>
            <w:r w:rsidRPr="00A97B1F">
              <w:t>genomu</w:t>
            </w:r>
          </w:p>
        </w:tc>
        <w:tc>
          <w:tcPr>
            <w:tcW w:w="1701" w:type="dxa"/>
          </w:tcPr>
          <w:p w14:paraId="6049100D" w14:textId="77777777" w:rsidR="005517F8" w:rsidRPr="00AE7C03" w:rsidRDefault="005517F8" w:rsidP="009222C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Real-</w:t>
            </w:r>
            <w:r w:rsidR="009222C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ime PCR</w:t>
            </w:r>
          </w:p>
        </w:tc>
        <w:tc>
          <w:tcPr>
            <w:tcW w:w="2693" w:type="dxa"/>
          </w:tcPr>
          <w:p w14:paraId="6DF9BB81" w14:textId="00271D60" w:rsidR="009222CA" w:rsidRDefault="00226CE5" w:rsidP="009222C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SOP-A, v5</w:t>
            </w:r>
            <w:r w:rsidR="009222CA">
              <w:rPr>
                <w:sz w:val="22"/>
                <w:szCs w:val="22"/>
              </w:rPr>
              <w:t>;</w:t>
            </w:r>
          </w:p>
          <w:p w14:paraId="209B3C93" w14:textId="77777777" w:rsidR="00582099" w:rsidRDefault="00582099" w:rsidP="009222C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Real-Time PCR cykler</w:t>
            </w:r>
          </w:p>
        </w:tc>
        <w:tc>
          <w:tcPr>
            <w:tcW w:w="1985" w:type="dxa"/>
          </w:tcPr>
          <w:p w14:paraId="7E6F9EDA" w14:textId="77777777" w:rsidR="005517F8" w:rsidRDefault="005517F8" w:rsidP="005517F8">
            <w:r>
              <w:t>Biologický materiál obsahující lidskou jadernou RNA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B2E0E07" w14:textId="5A9C5F29" w:rsidR="005517F8" w:rsidRDefault="00200806" w:rsidP="005517F8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18F2BA85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697A69F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2DFFD40" w14:textId="77777777" w:rsidR="00C45B6F" w:rsidRPr="00AE7C03" w:rsidRDefault="00C45B6F" w:rsidP="009222CA">
            <w:pPr>
              <w:spacing w:before="0" w:after="0"/>
              <w:jc w:val="left"/>
              <w:rPr>
                <w:sz w:val="22"/>
                <w:szCs w:val="22"/>
              </w:rPr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</w:p>
        </w:tc>
        <w:tc>
          <w:tcPr>
            <w:tcW w:w="1701" w:type="dxa"/>
          </w:tcPr>
          <w:p w14:paraId="260351C6" w14:textId="77777777" w:rsidR="00C45B6F" w:rsidRPr="00AE7C03" w:rsidRDefault="00C45B6F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t>PCR – fragmentační analýza gelová</w:t>
            </w:r>
          </w:p>
        </w:tc>
        <w:tc>
          <w:tcPr>
            <w:tcW w:w="2693" w:type="dxa"/>
          </w:tcPr>
          <w:p w14:paraId="6864E461" w14:textId="1D3F9B42" w:rsidR="00891F12" w:rsidRPr="00AE7C03" w:rsidRDefault="00226CE5" w:rsidP="00C45B6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SOP-B, v4</w:t>
            </w:r>
          </w:p>
        </w:tc>
        <w:tc>
          <w:tcPr>
            <w:tcW w:w="1985" w:type="dxa"/>
          </w:tcPr>
          <w:p w14:paraId="019A5A13" w14:textId="77777777" w:rsidR="00C45B6F" w:rsidRPr="00693B0A" w:rsidRDefault="005517F8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t>Biologický materiál obsahující lidskou jadernou DNA</w:t>
            </w:r>
            <w:r w:rsidRPr="00693B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97E2F8C" w14:textId="660E9DDB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1D34412F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2EA492F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1066F7E" w14:textId="77777777" w:rsidR="00C45B6F" w:rsidRPr="00AE7C03" w:rsidRDefault="00C45B6F" w:rsidP="009222CA">
            <w:pPr>
              <w:spacing w:before="0" w:after="0"/>
              <w:jc w:val="left"/>
              <w:rPr>
                <w:sz w:val="22"/>
                <w:szCs w:val="22"/>
              </w:rPr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</w:p>
        </w:tc>
        <w:tc>
          <w:tcPr>
            <w:tcW w:w="1701" w:type="dxa"/>
          </w:tcPr>
          <w:p w14:paraId="4EF02E0B" w14:textId="77777777" w:rsidR="00C45B6F" w:rsidRPr="00A97B1F" w:rsidRDefault="00C45B6F" w:rsidP="009222CA">
            <w:pPr>
              <w:jc w:val="left"/>
            </w:pPr>
            <w:r>
              <w:t>PCR – fragmentační analýza kapilární</w:t>
            </w:r>
          </w:p>
        </w:tc>
        <w:tc>
          <w:tcPr>
            <w:tcW w:w="2693" w:type="dxa"/>
          </w:tcPr>
          <w:p w14:paraId="6F23487D" w14:textId="5E170212" w:rsidR="00C45B6F" w:rsidRDefault="00226CE5" w:rsidP="00C45B6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SOP-C, v5</w:t>
            </w:r>
            <w:r w:rsidR="009222CA">
              <w:rPr>
                <w:sz w:val="22"/>
                <w:szCs w:val="22"/>
              </w:rPr>
              <w:t>;</w:t>
            </w:r>
          </w:p>
          <w:p w14:paraId="37A0E436" w14:textId="77777777" w:rsidR="00891F12" w:rsidRPr="00AE7C03" w:rsidRDefault="00891F12" w:rsidP="009222CA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 </w:t>
            </w:r>
            <w:r w:rsidR="002A01D1">
              <w:rPr>
                <w:sz w:val="22"/>
                <w:szCs w:val="22"/>
              </w:rPr>
              <w:t xml:space="preserve">PRISM </w:t>
            </w:r>
            <w:r>
              <w:rPr>
                <w:sz w:val="22"/>
                <w:szCs w:val="22"/>
              </w:rPr>
              <w:t>3100 Avant, SeqStudio</w:t>
            </w:r>
            <w:r w:rsidR="002A01D1">
              <w:rPr>
                <w:sz w:val="22"/>
                <w:szCs w:val="22"/>
              </w:rPr>
              <w:t xml:space="preserve"> Genetic Analyzer</w:t>
            </w:r>
          </w:p>
        </w:tc>
        <w:tc>
          <w:tcPr>
            <w:tcW w:w="1985" w:type="dxa"/>
          </w:tcPr>
          <w:p w14:paraId="325FCEC0" w14:textId="77777777" w:rsidR="00C45B6F" w:rsidRPr="00693B0A" w:rsidRDefault="005517F8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t>Biologický materiál obsahující lidskou jadernou DNA</w:t>
            </w:r>
            <w:r w:rsidRPr="00693B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08B5B24" w14:textId="21FEABFE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1416B67F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8B55806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FFEE7F9" w14:textId="77777777" w:rsidR="00C45B6F" w:rsidRDefault="00C45B6F" w:rsidP="009222CA">
            <w:pPr>
              <w:spacing w:before="0" w:after="0"/>
              <w:jc w:val="left"/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</w:p>
        </w:tc>
        <w:tc>
          <w:tcPr>
            <w:tcW w:w="1701" w:type="dxa"/>
          </w:tcPr>
          <w:p w14:paraId="511616CB" w14:textId="77777777" w:rsidR="00C45B6F" w:rsidRDefault="00C45B6F" w:rsidP="009222CA">
            <w:pPr>
              <w:jc w:val="left"/>
            </w:pPr>
            <w:r>
              <w:t>PCR – reverzní hybridizace</w:t>
            </w:r>
          </w:p>
          <w:p w14:paraId="577553B2" w14:textId="77777777" w:rsidR="00C45B6F" w:rsidRPr="00AE7C03" w:rsidRDefault="00C45B6F" w:rsidP="009222CA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B18A75C" w14:textId="1A3EBB76" w:rsidR="00891F12" w:rsidRDefault="00226CE5" w:rsidP="00891F12">
            <w:pPr>
              <w:spacing w:before="120"/>
            </w:pPr>
            <w:r>
              <w:t>SOP-D, v4</w:t>
            </w:r>
            <w:r w:rsidR="009222CA">
              <w:t>;</w:t>
            </w:r>
          </w:p>
        </w:tc>
        <w:tc>
          <w:tcPr>
            <w:tcW w:w="1985" w:type="dxa"/>
          </w:tcPr>
          <w:p w14:paraId="0BD94A25" w14:textId="77777777" w:rsidR="00C45B6F" w:rsidRDefault="005517F8" w:rsidP="00C45B6F">
            <w:r>
              <w:t xml:space="preserve">Biologický materiál obsahující lidskou jadernou DNA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9FE1920" w14:textId="3FDEFDA1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4E7993F0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663DFC2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08BE31B" w14:textId="77777777" w:rsidR="00C45B6F" w:rsidRDefault="00C45B6F" w:rsidP="009222CA">
            <w:pPr>
              <w:spacing w:before="0" w:after="0"/>
              <w:jc w:val="left"/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  <w:r>
              <w:t xml:space="preserve"> </w:t>
            </w:r>
          </w:p>
        </w:tc>
        <w:tc>
          <w:tcPr>
            <w:tcW w:w="1701" w:type="dxa"/>
          </w:tcPr>
          <w:p w14:paraId="11943D2E" w14:textId="77777777" w:rsidR="00C45B6F" w:rsidRPr="00AE7C03" w:rsidRDefault="00C45B6F" w:rsidP="009222CA">
            <w:pPr>
              <w:spacing w:before="120"/>
              <w:jc w:val="left"/>
              <w:rPr>
                <w:sz w:val="22"/>
                <w:szCs w:val="22"/>
              </w:rPr>
            </w:pPr>
            <w:r>
              <w:t xml:space="preserve">Přímé sekvenování </w:t>
            </w:r>
          </w:p>
        </w:tc>
        <w:tc>
          <w:tcPr>
            <w:tcW w:w="2693" w:type="dxa"/>
          </w:tcPr>
          <w:p w14:paraId="7EFBD44B" w14:textId="77777777" w:rsidR="00C45B6F" w:rsidRDefault="00891F12" w:rsidP="00C45B6F">
            <w:pPr>
              <w:spacing w:before="120"/>
            </w:pPr>
            <w:r>
              <w:t>SOP-E, v</w:t>
            </w:r>
            <w:r w:rsidR="002A01D1">
              <w:t>6</w:t>
            </w:r>
          </w:p>
          <w:p w14:paraId="1E0C2AA3" w14:textId="77777777" w:rsidR="002A01D1" w:rsidRDefault="002A01D1" w:rsidP="00C45B6F">
            <w:pPr>
              <w:spacing w:before="120"/>
            </w:pPr>
            <w:r>
              <w:rPr>
                <w:sz w:val="22"/>
                <w:szCs w:val="22"/>
              </w:rPr>
              <w:t>ABI PRISM 3100 Avant, SeqStudio Genetic Analyzer</w:t>
            </w:r>
          </w:p>
        </w:tc>
        <w:tc>
          <w:tcPr>
            <w:tcW w:w="1985" w:type="dxa"/>
          </w:tcPr>
          <w:p w14:paraId="53CC61F1" w14:textId="77777777" w:rsidR="00C45B6F" w:rsidRDefault="005517F8" w:rsidP="00C45B6F">
            <w:r>
              <w:t xml:space="preserve">Biologický materiál obsahující lidskou jadernou DNA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2D63344" w14:textId="6613938A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0C301D2B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92D4F08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A3DAE83" w14:textId="77777777" w:rsidR="00C45B6F" w:rsidRDefault="00C45B6F" w:rsidP="009222CA">
            <w:pPr>
              <w:jc w:val="left"/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  <w:r>
              <w:t xml:space="preserve"> </w:t>
            </w:r>
          </w:p>
          <w:p w14:paraId="3B5CB1CE" w14:textId="77777777" w:rsidR="00C45B6F" w:rsidRDefault="00C45B6F" w:rsidP="009222CA">
            <w:pPr>
              <w:spacing w:before="0" w:after="0"/>
              <w:jc w:val="left"/>
            </w:pPr>
          </w:p>
        </w:tc>
        <w:tc>
          <w:tcPr>
            <w:tcW w:w="1701" w:type="dxa"/>
          </w:tcPr>
          <w:p w14:paraId="6E1DF9FC" w14:textId="77777777" w:rsidR="00C45B6F" w:rsidRPr="00AE7C03" w:rsidRDefault="00C45B6F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t>MLPA</w:t>
            </w:r>
          </w:p>
        </w:tc>
        <w:tc>
          <w:tcPr>
            <w:tcW w:w="2693" w:type="dxa"/>
          </w:tcPr>
          <w:p w14:paraId="0F0C23B3" w14:textId="6CB0F894" w:rsidR="00C45B6F" w:rsidRDefault="00891F12" w:rsidP="009222CA">
            <w:pPr>
              <w:spacing w:before="120"/>
              <w:jc w:val="left"/>
            </w:pPr>
            <w:r>
              <w:t>SOP-F, v</w:t>
            </w:r>
            <w:r w:rsidR="00226CE5">
              <w:t>6</w:t>
            </w:r>
            <w:r w:rsidR="009222CA">
              <w:t>;</w:t>
            </w:r>
          </w:p>
          <w:p w14:paraId="5FC233E9" w14:textId="77777777" w:rsidR="00031352" w:rsidRDefault="00031352" w:rsidP="009222CA">
            <w:pPr>
              <w:spacing w:before="120"/>
              <w:jc w:val="left"/>
            </w:pPr>
            <w:r>
              <w:rPr>
                <w:sz w:val="22"/>
                <w:szCs w:val="22"/>
              </w:rPr>
              <w:t>ABI PRISM 3100 Avant, SeqStudio Genetic Analyzer</w:t>
            </w:r>
          </w:p>
        </w:tc>
        <w:tc>
          <w:tcPr>
            <w:tcW w:w="1985" w:type="dxa"/>
          </w:tcPr>
          <w:p w14:paraId="384E6017" w14:textId="77777777" w:rsidR="00C45B6F" w:rsidRDefault="005517F8" w:rsidP="00C45B6F">
            <w:r>
              <w:t xml:space="preserve">Biologický materiál obsahující lidskou jadernou DNA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1C92228" w14:textId="4E697432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  <w:tr w:rsidR="00C45B6F" w14:paraId="582F9162" w14:textId="77777777" w:rsidTr="00CF3B03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DBBCC9" w14:textId="77777777" w:rsidR="00C45B6F" w:rsidRDefault="005517F8" w:rsidP="00C45B6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45B6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4E62D69" w14:textId="77777777" w:rsidR="00C45B6F" w:rsidRDefault="00C45B6F" w:rsidP="009222CA">
            <w:pPr>
              <w:jc w:val="left"/>
            </w:pPr>
            <w:r w:rsidRPr="00A97B1F">
              <w:t xml:space="preserve">Vyšetření variant </w:t>
            </w:r>
            <w:r w:rsidR="005517F8">
              <w:t xml:space="preserve">germinálního </w:t>
            </w:r>
            <w:r w:rsidRPr="00A97B1F">
              <w:t>genomu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68C613" w14:textId="77777777" w:rsidR="00C45B6F" w:rsidRPr="00AE7C03" w:rsidRDefault="00C45B6F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NGS-MPS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78391D6" w14:textId="77777777" w:rsidR="00C45B6F" w:rsidRDefault="00891F12" w:rsidP="009222CA">
            <w:pPr>
              <w:spacing w:before="120"/>
              <w:jc w:val="left"/>
            </w:pPr>
            <w:r>
              <w:t>SOP-G, v</w:t>
            </w:r>
            <w:r w:rsidR="00031352">
              <w:t>5</w:t>
            </w:r>
            <w:r w:rsidR="009222CA">
              <w:t>;</w:t>
            </w:r>
          </w:p>
          <w:p w14:paraId="5D7E646E" w14:textId="77777777" w:rsidR="00031352" w:rsidRDefault="00031352" w:rsidP="009222CA">
            <w:pPr>
              <w:spacing w:before="120"/>
              <w:jc w:val="left"/>
            </w:pPr>
            <w:r>
              <w:t>Genexus Integrated Sequencer System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4DFB7D0" w14:textId="77777777" w:rsidR="00C45B6F" w:rsidRDefault="005517F8" w:rsidP="00C45B6F">
            <w:r>
              <w:t xml:space="preserve">Biologický materiál obsahující lidskou jadernou DNA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59B76F6" w14:textId="4EB79F9A" w:rsidR="00C45B6F" w:rsidRPr="00EE357A" w:rsidRDefault="00200806" w:rsidP="00C45B6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A,B,C</w:t>
            </w:r>
          </w:p>
        </w:tc>
      </w:tr>
    </w:tbl>
    <w:p w14:paraId="33E94A86" w14:textId="77777777" w:rsidR="00236524" w:rsidRDefault="00236524" w:rsidP="004D4CFF">
      <w:pPr>
        <w:ind w:left="284" w:hanging="284"/>
        <w:rPr>
          <w:sz w:val="20"/>
        </w:rPr>
      </w:pPr>
    </w:p>
    <w:p w14:paraId="17DCBC11" w14:textId="77777777"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14:paraId="65A2AED7" w14:textId="77777777" w:rsidTr="00C45B6F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27934C" w14:textId="77777777"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A8A26" w14:textId="77777777"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C45B6F" w14:paraId="393B0B80" w14:textId="77777777" w:rsidTr="00C45B6F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14:paraId="2D1A628C" w14:textId="77777777" w:rsidR="00C45B6F" w:rsidRPr="00CB62C4" w:rsidRDefault="00C45B6F" w:rsidP="00C45B6F">
            <w:pPr>
              <w:spacing w:before="120"/>
              <w:jc w:val="left"/>
              <w:rPr>
                <w:szCs w:val="24"/>
              </w:rPr>
            </w:pPr>
            <w:r w:rsidRPr="00CB62C4">
              <w:rPr>
                <w:szCs w:val="24"/>
              </w:rPr>
              <w:t>816</w:t>
            </w:r>
            <w:r w:rsidR="00E41659" w:rsidRPr="00CB62C4">
              <w:rPr>
                <w:szCs w:val="24"/>
              </w:rPr>
              <w:t xml:space="preserve"> </w:t>
            </w:r>
            <w:r w:rsidRPr="00CB62C4">
              <w:rPr>
                <w:szCs w:val="24"/>
              </w:rPr>
              <w:t>/</w:t>
            </w:r>
            <w:r w:rsidR="009222CA" w:rsidRPr="00CB62C4">
              <w:rPr>
                <w:szCs w:val="24"/>
              </w:rPr>
              <w:t>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14:paraId="684352AC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Faktor V - Leidenská mutace (G1691A);</w:t>
            </w:r>
          </w:p>
          <w:p w14:paraId="79C78B10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Faktor II Prothrombin (G20210A);</w:t>
            </w:r>
          </w:p>
          <w:p w14:paraId="772EEB4E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Faktor XIII (V34L);</w:t>
            </w:r>
          </w:p>
          <w:p w14:paraId="5E061156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Faktor V R2 (H1299R); </w:t>
            </w:r>
          </w:p>
          <w:p w14:paraId="29D3EFC7" w14:textId="77777777" w:rsidR="00792A15" w:rsidRPr="00CB62C4" w:rsidRDefault="00792A15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t>P</w:t>
            </w:r>
            <w:r w:rsidR="00C45B6F" w:rsidRPr="00CB62C4">
              <w:rPr>
                <w:bCs/>
                <w:i/>
                <w:color w:val="000000"/>
                <w:szCs w:val="24"/>
              </w:rPr>
              <w:t>AI-1</w:t>
            </w:r>
            <w:r w:rsidR="00C45B6F" w:rsidRPr="00CB62C4">
              <w:rPr>
                <w:bCs/>
                <w:color w:val="000000"/>
                <w:szCs w:val="24"/>
              </w:rPr>
              <w:t xml:space="preserve"> (4G/5G);</w:t>
            </w:r>
          </w:p>
          <w:p w14:paraId="42A26F79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t>MTHFR</w:t>
            </w:r>
            <w:r w:rsidRPr="00CB62C4">
              <w:rPr>
                <w:bCs/>
                <w:color w:val="000000"/>
                <w:szCs w:val="24"/>
              </w:rPr>
              <w:t xml:space="preserve"> (C677T, A1298C);</w:t>
            </w:r>
            <w:r w:rsidR="00792A15" w:rsidRPr="00CB62C4">
              <w:rPr>
                <w:bCs/>
                <w:color w:val="000000"/>
                <w:szCs w:val="24"/>
              </w:rPr>
              <w:t xml:space="preserve"> </w:t>
            </w:r>
          </w:p>
          <w:p w14:paraId="6C9B480D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HLA-B*27 – Morbus Bechtěrev;</w:t>
            </w:r>
          </w:p>
          <w:p w14:paraId="1C28056C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Laktózová intolerance (</w:t>
            </w:r>
            <w:r w:rsidRPr="00CB62C4">
              <w:rPr>
                <w:bCs/>
                <w:i/>
                <w:color w:val="000000"/>
                <w:szCs w:val="24"/>
              </w:rPr>
              <w:t>LCT</w:t>
            </w:r>
            <w:r w:rsidRPr="00CB62C4">
              <w:rPr>
                <w:bCs/>
                <w:color w:val="000000"/>
                <w:szCs w:val="24"/>
              </w:rPr>
              <w:t xml:space="preserve"> -13910C&gt;T, -22018G&gt;A);</w:t>
            </w:r>
          </w:p>
          <w:p w14:paraId="4664CCE3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Fruktózová intolerance (</w:t>
            </w:r>
            <w:r w:rsidRPr="00CB62C4">
              <w:rPr>
                <w:bCs/>
                <w:i/>
                <w:color w:val="000000"/>
                <w:szCs w:val="24"/>
              </w:rPr>
              <w:t>ALDOB</w:t>
            </w:r>
            <w:r w:rsidRPr="00CB62C4">
              <w:rPr>
                <w:bCs/>
                <w:color w:val="000000"/>
                <w:szCs w:val="24"/>
              </w:rPr>
              <w:t xml:space="preserve">: mutace A149P, A174D, N334K, del4E4); </w:t>
            </w:r>
          </w:p>
          <w:p w14:paraId="42520873" w14:textId="77777777" w:rsidR="00407178" w:rsidRPr="00CB62C4" w:rsidRDefault="00C45B6F" w:rsidP="00792A15">
            <w:pPr>
              <w:spacing w:before="120"/>
              <w:rPr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Deficit α-1 antitrypsinu (</w:t>
            </w:r>
            <w:r w:rsidRPr="00CB62C4">
              <w:rPr>
                <w:bCs/>
                <w:i/>
                <w:color w:val="000000"/>
                <w:szCs w:val="24"/>
              </w:rPr>
              <w:t>SERPINA1</w:t>
            </w:r>
            <w:r w:rsidRPr="00CB62C4">
              <w:rPr>
                <w:bCs/>
                <w:color w:val="000000"/>
                <w:szCs w:val="24"/>
              </w:rPr>
              <w:t>: mutace PI*S = E264V, PI*Z = E342K)</w:t>
            </w:r>
            <w:r w:rsidR="00407178" w:rsidRPr="00CB62C4">
              <w:rPr>
                <w:szCs w:val="24"/>
              </w:rPr>
              <w:t>;</w:t>
            </w:r>
          </w:p>
          <w:p w14:paraId="5D53AC3C" w14:textId="77777777" w:rsidR="00407178" w:rsidRPr="00CB62C4" w:rsidRDefault="00407178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β-fibrinogen (-455G&gt;A);</w:t>
            </w:r>
          </w:p>
          <w:p w14:paraId="1F044E73" w14:textId="77777777" w:rsidR="00407178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t>ApoB</w:t>
            </w:r>
            <w:r w:rsidR="00407178" w:rsidRPr="00CB62C4">
              <w:rPr>
                <w:bCs/>
                <w:color w:val="000000"/>
                <w:szCs w:val="24"/>
              </w:rPr>
              <w:t xml:space="preserve"> (R3500Q);</w:t>
            </w:r>
          </w:p>
          <w:p w14:paraId="266713BC" w14:textId="77777777" w:rsidR="00407178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t>ApoE</w:t>
            </w:r>
            <w:r w:rsidR="00407178" w:rsidRPr="00CB62C4">
              <w:rPr>
                <w:bCs/>
                <w:color w:val="000000"/>
                <w:szCs w:val="24"/>
              </w:rPr>
              <w:t xml:space="preserve"> (E2/E3/E4);</w:t>
            </w:r>
          </w:p>
          <w:p w14:paraId="6C70ECCA" w14:textId="77777777" w:rsidR="00407178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t>GpIIIa</w:t>
            </w:r>
            <w:r w:rsidR="00407178" w:rsidRPr="00CB62C4">
              <w:rPr>
                <w:bCs/>
                <w:color w:val="000000"/>
                <w:szCs w:val="24"/>
              </w:rPr>
              <w:t xml:space="preserve"> (L33P);</w:t>
            </w:r>
          </w:p>
          <w:p w14:paraId="2414F356" w14:textId="7CC6A9E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Metabolismus thiopurinových léčiv (</w:t>
            </w:r>
            <w:r w:rsidRPr="00CB62C4">
              <w:rPr>
                <w:bCs/>
                <w:i/>
                <w:color w:val="000000"/>
                <w:szCs w:val="24"/>
              </w:rPr>
              <w:t>TPMT</w:t>
            </w:r>
            <w:r w:rsidRPr="00CB62C4">
              <w:rPr>
                <w:bCs/>
                <w:color w:val="000000"/>
                <w:szCs w:val="24"/>
              </w:rPr>
              <w:t>: mutace TPMT*2 = G238C, TPTMT*3A = G460A/A719G, TPMT*3B = G460A, TPMT*3C = A719G);</w:t>
            </w:r>
          </w:p>
          <w:p w14:paraId="52C80009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Metabolismus warfarinu (</w:t>
            </w:r>
            <w:r w:rsidRPr="00CB62C4">
              <w:rPr>
                <w:bCs/>
                <w:i/>
                <w:color w:val="000000"/>
                <w:szCs w:val="24"/>
              </w:rPr>
              <w:t>VKROC1</w:t>
            </w:r>
            <w:r w:rsidRPr="00CB62C4">
              <w:rPr>
                <w:bCs/>
                <w:color w:val="000000"/>
                <w:szCs w:val="24"/>
              </w:rPr>
              <w:t xml:space="preserve">: mutace G1639A, </w:t>
            </w:r>
            <w:r w:rsidRPr="00CB62C4">
              <w:rPr>
                <w:bCs/>
                <w:i/>
                <w:color w:val="000000"/>
                <w:szCs w:val="24"/>
              </w:rPr>
              <w:t>CYP2C9</w:t>
            </w:r>
            <w:r w:rsidRPr="00CB62C4">
              <w:rPr>
                <w:bCs/>
                <w:color w:val="000000"/>
                <w:szCs w:val="24"/>
              </w:rPr>
              <w:t>: CYP2C9*2 = C430T, CYP2C9*3 = A1075C);</w:t>
            </w:r>
          </w:p>
          <w:p w14:paraId="5DB63248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Gilbertův syndrom (</w:t>
            </w:r>
            <w:r w:rsidRPr="00CB62C4">
              <w:rPr>
                <w:bCs/>
                <w:i/>
                <w:color w:val="000000"/>
                <w:szCs w:val="24"/>
              </w:rPr>
              <w:t>UGT1A1</w:t>
            </w:r>
            <w:r w:rsidRPr="00CB62C4">
              <w:rPr>
                <w:bCs/>
                <w:color w:val="000000"/>
                <w:szCs w:val="24"/>
              </w:rPr>
              <w:t>);</w:t>
            </w:r>
          </w:p>
          <w:p w14:paraId="31B3EC44" w14:textId="77777777" w:rsidR="00792A15" w:rsidRPr="00CB62C4" w:rsidRDefault="00C45B6F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Predispozice k celiakální sprue (lokusy </w:t>
            </w:r>
            <w:r w:rsidRPr="00CB62C4">
              <w:rPr>
                <w:bCs/>
                <w:i/>
                <w:color w:val="000000"/>
                <w:szCs w:val="24"/>
              </w:rPr>
              <w:t>DQA1</w:t>
            </w:r>
            <w:r w:rsidRPr="00CB62C4">
              <w:rPr>
                <w:bCs/>
                <w:color w:val="000000"/>
                <w:szCs w:val="24"/>
              </w:rPr>
              <w:t xml:space="preserve"> a </w:t>
            </w:r>
            <w:r w:rsidRPr="00CB62C4">
              <w:rPr>
                <w:bCs/>
                <w:i/>
                <w:color w:val="000000"/>
                <w:szCs w:val="24"/>
              </w:rPr>
              <w:t>DQB1</w:t>
            </w:r>
            <w:r w:rsidRPr="00CB62C4">
              <w:rPr>
                <w:bCs/>
                <w:color w:val="000000"/>
                <w:szCs w:val="24"/>
              </w:rPr>
              <w:t xml:space="preserve">; serologické ekvivalenty DQ2.5, DQ2.2, DQ8); </w:t>
            </w:r>
          </w:p>
          <w:p w14:paraId="5CD3708B" w14:textId="77777777" w:rsidR="00407178" w:rsidRPr="00CB62C4" w:rsidRDefault="00792A15" w:rsidP="00792A15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H</w:t>
            </w:r>
            <w:r w:rsidR="00C45B6F" w:rsidRPr="00CB62C4">
              <w:rPr>
                <w:bCs/>
                <w:color w:val="000000"/>
                <w:szCs w:val="24"/>
              </w:rPr>
              <w:t>ereditární hemochromatóza (</w:t>
            </w:r>
            <w:r w:rsidR="00C45B6F" w:rsidRPr="00CB62C4">
              <w:rPr>
                <w:bCs/>
                <w:i/>
                <w:color w:val="000000"/>
                <w:szCs w:val="24"/>
              </w:rPr>
              <w:t>HFE</w:t>
            </w:r>
            <w:r w:rsidR="00407178" w:rsidRPr="00CB62C4">
              <w:rPr>
                <w:bCs/>
                <w:color w:val="000000"/>
                <w:szCs w:val="24"/>
              </w:rPr>
              <w:t>: mutace C282Y, H63D, S65C);</w:t>
            </w:r>
          </w:p>
          <w:p w14:paraId="5E7BCD0F" w14:textId="7B0A7FBD" w:rsidR="00792A15" w:rsidRPr="00CB62C4" w:rsidRDefault="00C45B6F" w:rsidP="00792A15">
            <w:pPr>
              <w:spacing w:before="120"/>
              <w:rPr>
                <w:bCs/>
                <w:szCs w:val="24"/>
              </w:rPr>
            </w:pPr>
            <w:r w:rsidRPr="00CB62C4">
              <w:rPr>
                <w:bCs/>
                <w:i/>
                <w:color w:val="000000"/>
                <w:szCs w:val="24"/>
              </w:rPr>
              <w:lastRenderedPageBreak/>
              <w:t>GpIa</w:t>
            </w:r>
            <w:r w:rsidRPr="00CB62C4">
              <w:rPr>
                <w:bCs/>
                <w:color w:val="000000"/>
                <w:szCs w:val="24"/>
              </w:rPr>
              <w:t xml:space="preserve"> (C807T)</w:t>
            </w:r>
            <w:r w:rsidR="00582099" w:rsidRPr="00CB62C4">
              <w:rPr>
                <w:bCs/>
                <w:szCs w:val="24"/>
              </w:rPr>
              <w:t>;</w:t>
            </w:r>
          </w:p>
          <w:p w14:paraId="59AF964E" w14:textId="1D0ED581" w:rsidR="00C45B6F" w:rsidRPr="00CB62C4" w:rsidRDefault="00582099" w:rsidP="00792A15">
            <w:pPr>
              <w:spacing w:before="120"/>
              <w:rPr>
                <w:bCs/>
                <w:szCs w:val="24"/>
              </w:rPr>
            </w:pPr>
            <w:r w:rsidRPr="00CB62C4">
              <w:rPr>
                <w:bCs/>
                <w:szCs w:val="24"/>
              </w:rPr>
              <w:t>Stanovení predispozice k psoriáze/lupénce (alely HLA-C*06)</w:t>
            </w:r>
            <w:r w:rsidR="00E368A9" w:rsidRPr="00CB62C4">
              <w:rPr>
                <w:bCs/>
                <w:szCs w:val="24"/>
              </w:rPr>
              <w:t>;</w:t>
            </w:r>
          </w:p>
          <w:p w14:paraId="75425AAB" w14:textId="795716B3" w:rsidR="00E368A9" w:rsidRPr="00CB62C4" w:rsidRDefault="00E368A9" w:rsidP="00E368A9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 xml:space="preserve">Metabolismus antikoagulancií, antidepresiv, antiepileptik, inhibitorů protonové pumpy, antikonvulziv, hypnotik, sedativ, antimalarik, antiretrovirik, antimykotik aj. (gen </w:t>
            </w:r>
            <w:r w:rsidRPr="00CB62C4">
              <w:rPr>
                <w:i/>
                <w:szCs w:val="24"/>
              </w:rPr>
              <w:t>CYP2C19</w:t>
            </w:r>
            <w:r w:rsidRPr="00CB62C4">
              <w:rPr>
                <w:szCs w:val="24"/>
              </w:rPr>
              <w:t xml:space="preserve"> alely *1, *2, *3, *17);</w:t>
            </w:r>
          </w:p>
          <w:p w14:paraId="22C845A4" w14:textId="46064377" w:rsidR="00E368A9" w:rsidRPr="00CB62C4" w:rsidRDefault="00E368A9" w:rsidP="00E368A9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B62C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Metabolismus myorelaxans, např. suxamethonia, mivacuria (gen </w:t>
            </w:r>
            <w:r w:rsidRPr="00CB62C4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BCHE</w:t>
            </w:r>
            <w:r w:rsidRPr="00CB62C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alely A, K, F1, F2, S1);</w:t>
            </w:r>
          </w:p>
          <w:p w14:paraId="4E76A8EB" w14:textId="2A9B6FC7" w:rsidR="00E368A9" w:rsidRPr="00CB62C4" w:rsidRDefault="00E368A9" w:rsidP="00E368A9">
            <w:pPr>
              <w:pStyle w:val="Normlnweb"/>
              <w:spacing w:before="0" w:beforeAutospacing="0" w:after="0" w:afterAutospacing="0"/>
              <w:rPr>
                <w:bCs/>
                <w:color w:val="000000"/>
              </w:rPr>
            </w:pPr>
            <w:r w:rsidRPr="00CB62C4">
              <w:rPr>
                <w:bCs/>
                <w:i/>
                <w:color w:val="000000"/>
              </w:rPr>
              <w:t>ACE</w:t>
            </w:r>
            <w:r w:rsidRPr="00CB62C4">
              <w:rPr>
                <w:bCs/>
                <w:color w:val="000000"/>
              </w:rPr>
              <w:t xml:space="preserve"> (ins/del)</w:t>
            </w:r>
          </w:p>
        </w:tc>
      </w:tr>
      <w:tr w:rsidR="00FC0695" w14:paraId="13FB948D" w14:textId="77777777" w:rsidTr="009222CA">
        <w:tc>
          <w:tcPr>
            <w:tcW w:w="1047" w:type="dxa"/>
            <w:tcBorders>
              <w:top w:val="single" w:sz="4" w:space="0" w:color="auto"/>
              <w:left w:val="double" w:sz="4" w:space="0" w:color="auto"/>
            </w:tcBorders>
          </w:tcPr>
          <w:p w14:paraId="2934F5F5" w14:textId="36915A24" w:rsidR="00FC0695" w:rsidRPr="00CB62C4" w:rsidRDefault="00FC0695" w:rsidP="009222CA">
            <w:pPr>
              <w:spacing w:before="120"/>
              <w:jc w:val="left"/>
              <w:rPr>
                <w:szCs w:val="24"/>
              </w:rPr>
            </w:pPr>
            <w:r w:rsidRPr="00CB62C4">
              <w:rPr>
                <w:szCs w:val="24"/>
              </w:rPr>
              <w:lastRenderedPageBreak/>
              <w:t>816/2</w:t>
            </w:r>
          </w:p>
        </w:tc>
        <w:tc>
          <w:tcPr>
            <w:tcW w:w="9443" w:type="dxa"/>
            <w:tcBorders>
              <w:top w:val="single" w:sz="4" w:space="0" w:color="auto"/>
              <w:right w:val="double" w:sz="4" w:space="0" w:color="auto"/>
            </w:tcBorders>
          </w:tcPr>
          <w:p w14:paraId="6FCC8447" w14:textId="77777777" w:rsidR="00FC0695" w:rsidRPr="00CB62C4" w:rsidRDefault="00FC0695" w:rsidP="00582099">
            <w:pPr>
              <w:spacing w:before="120"/>
              <w:rPr>
                <w:szCs w:val="24"/>
              </w:rPr>
            </w:pPr>
            <w:r w:rsidRPr="00CB62C4">
              <w:rPr>
                <w:bCs/>
                <w:szCs w:val="24"/>
              </w:rPr>
              <w:t xml:space="preserve">Stanovení fúzního genu </w:t>
            </w:r>
            <w:r w:rsidRPr="00CB62C4">
              <w:rPr>
                <w:bCs/>
                <w:i/>
                <w:szCs w:val="24"/>
              </w:rPr>
              <w:t>BCR-ABL</w:t>
            </w:r>
            <w:r w:rsidRPr="00CB62C4">
              <w:rPr>
                <w:bCs/>
                <w:szCs w:val="24"/>
              </w:rPr>
              <w:t xml:space="preserve"> a určení typu přestavby (M-bcr, m-bcr, µ-bcr)</w:t>
            </w:r>
          </w:p>
        </w:tc>
      </w:tr>
      <w:tr w:rsidR="00C45B6F" w14:paraId="610ACBF3" w14:textId="77777777" w:rsidTr="00C45B6F">
        <w:tc>
          <w:tcPr>
            <w:tcW w:w="1047" w:type="dxa"/>
            <w:tcBorders>
              <w:left w:val="double" w:sz="4" w:space="0" w:color="auto"/>
            </w:tcBorders>
          </w:tcPr>
          <w:p w14:paraId="357EA955" w14:textId="77777777" w:rsidR="00C45B6F" w:rsidRPr="00CB62C4" w:rsidRDefault="00C45B6F" w:rsidP="009222CA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732FFFD" w14:textId="1AACD069" w:rsidR="00EC54E1" w:rsidRPr="00CB62C4" w:rsidRDefault="00C45B6F" w:rsidP="00C45B6F">
            <w:pPr>
              <w:pStyle w:val="Normlnweb"/>
              <w:spacing w:before="0" w:beforeAutospacing="0" w:after="0" w:afterAutospacing="0"/>
              <w:rPr>
                <w:bCs/>
                <w:color w:val="000000"/>
              </w:rPr>
            </w:pPr>
            <w:r w:rsidRPr="00CB62C4">
              <w:rPr>
                <w:bCs/>
                <w:color w:val="000000"/>
              </w:rPr>
              <w:t xml:space="preserve">Stanovení predispozice k celiakální sprue (lokusy </w:t>
            </w:r>
            <w:r w:rsidRPr="00CB62C4">
              <w:rPr>
                <w:bCs/>
                <w:i/>
                <w:color w:val="000000"/>
              </w:rPr>
              <w:t>DQA1</w:t>
            </w:r>
            <w:r w:rsidRPr="00CB62C4">
              <w:rPr>
                <w:bCs/>
                <w:color w:val="000000"/>
              </w:rPr>
              <w:t xml:space="preserve"> a </w:t>
            </w:r>
            <w:r w:rsidRPr="00CB62C4">
              <w:rPr>
                <w:bCs/>
                <w:i/>
                <w:color w:val="000000"/>
              </w:rPr>
              <w:t>DQB1</w:t>
            </w:r>
            <w:r w:rsidRPr="00CB62C4">
              <w:rPr>
                <w:bCs/>
                <w:color w:val="000000"/>
              </w:rPr>
              <w:t>;</w:t>
            </w:r>
            <w:r w:rsidR="00CE7C77" w:rsidRPr="00CB62C4">
              <w:rPr>
                <w:bCs/>
                <w:color w:val="000000"/>
              </w:rPr>
              <w:t xml:space="preserve"> </w:t>
            </w:r>
            <w:r w:rsidRPr="00CB62C4">
              <w:rPr>
                <w:bCs/>
                <w:color w:val="000000"/>
              </w:rPr>
              <w:t>serologické ekvivalenty DQ2.5, DQ2.2, DQ8);</w:t>
            </w:r>
          </w:p>
          <w:p w14:paraId="3379C1C1" w14:textId="2B99E443" w:rsidR="00C45B6F" w:rsidRPr="00CB62C4" w:rsidRDefault="00E368A9" w:rsidP="00E368A9">
            <w:pPr>
              <w:pStyle w:val="Normlnweb"/>
              <w:spacing w:before="0" w:beforeAutospacing="0" w:after="0" w:afterAutospacing="0"/>
            </w:pPr>
            <w:r w:rsidRPr="00CB62C4">
              <w:rPr>
                <w:bCs/>
                <w:color w:val="000000"/>
              </w:rPr>
              <w:t>Stanovení predispozice k narkolepsii (alela DQB1*0602)</w:t>
            </w:r>
          </w:p>
        </w:tc>
      </w:tr>
      <w:tr w:rsidR="00C45B6F" w14:paraId="012B3D5D" w14:textId="77777777" w:rsidTr="00C45B6F">
        <w:tc>
          <w:tcPr>
            <w:tcW w:w="1047" w:type="dxa"/>
            <w:tcBorders>
              <w:left w:val="double" w:sz="4" w:space="0" w:color="auto"/>
            </w:tcBorders>
          </w:tcPr>
          <w:p w14:paraId="763F0403" w14:textId="77777777" w:rsidR="00C45B6F" w:rsidRPr="00CB62C4" w:rsidRDefault="00C45B6F" w:rsidP="009222CA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6A89E604" w14:textId="77777777" w:rsidR="00EC54E1" w:rsidRPr="00CB62C4" w:rsidRDefault="00C45B6F" w:rsidP="00C45B6F">
            <w:pPr>
              <w:tabs>
                <w:tab w:val="left" w:pos="1311"/>
              </w:tabs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Cystická fibróza (mutace v genu </w:t>
            </w:r>
            <w:r w:rsidRPr="00CB62C4">
              <w:rPr>
                <w:bCs/>
                <w:i/>
                <w:color w:val="000000"/>
                <w:szCs w:val="24"/>
              </w:rPr>
              <w:t>CFTR</w:t>
            </w:r>
            <w:r w:rsidRPr="00CB62C4">
              <w:rPr>
                <w:bCs/>
                <w:color w:val="000000"/>
                <w:szCs w:val="24"/>
              </w:rPr>
              <w:t>);</w:t>
            </w:r>
          </w:p>
          <w:p w14:paraId="15B60D04" w14:textId="77777777" w:rsidR="00C45B6F" w:rsidRPr="00CB62C4" w:rsidRDefault="00C45B6F" w:rsidP="00C45B6F">
            <w:pPr>
              <w:tabs>
                <w:tab w:val="left" w:pos="1311"/>
              </w:tabs>
              <w:spacing w:before="120"/>
              <w:rPr>
                <w:bCs/>
                <w:i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Syndrom fragilního X – stanovení počtu CGG repetic v genu </w:t>
            </w:r>
            <w:r w:rsidRPr="00CB62C4">
              <w:rPr>
                <w:bCs/>
                <w:i/>
                <w:color w:val="000000"/>
                <w:szCs w:val="24"/>
              </w:rPr>
              <w:t>FMR1</w:t>
            </w:r>
            <w:r w:rsidR="00E368A9" w:rsidRPr="00CB62C4">
              <w:rPr>
                <w:bCs/>
                <w:i/>
                <w:color w:val="000000"/>
                <w:szCs w:val="24"/>
              </w:rPr>
              <w:t>;</w:t>
            </w:r>
          </w:p>
          <w:p w14:paraId="474A1C44" w14:textId="445F949D" w:rsidR="00E368A9" w:rsidRPr="00CB62C4" w:rsidRDefault="00E368A9" w:rsidP="00E368A9">
            <w:pPr>
              <w:pStyle w:val="Normlnweb"/>
              <w:spacing w:before="0" w:beforeAutospacing="0" w:after="0" w:afterAutospacing="0"/>
              <w:rPr>
                <w:bCs/>
                <w:color w:val="000000"/>
              </w:rPr>
            </w:pPr>
            <w:r w:rsidRPr="00CB62C4">
              <w:rPr>
                <w:bCs/>
                <w:color w:val="000000"/>
              </w:rPr>
              <w:t xml:space="preserve">Stanovení mikrodelecí v lokuse </w:t>
            </w:r>
            <w:r w:rsidRPr="00CB62C4">
              <w:rPr>
                <w:bCs/>
                <w:i/>
                <w:color w:val="000000"/>
              </w:rPr>
              <w:t>AZF</w:t>
            </w:r>
            <w:r w:rsidRPr="00CB62C4">
              <w:rPr>
                <w:bCs/>
                <w:color w:val="000000"/>
              </w:rPr>
              <w:t xml:space="preserve"> na chromozomu Y (AZFa, AZFb, AZFc)</w:t>
            </w:r>
          </w:p>
        </w:tc>
      </w:tr>
      <w:tr w:rsidR="00C45B6F" w14:paraId="7354FDD7" w14:textId="77777777" w:rsidTr="00C45B6F">
        <w:tc>
          <w:tcPr>
            <w:tcW w:w="1047" w:type="dxa"/>
            <w:tcBorders>
              <w:left w:val="double" w:sz="4" w:space="0" w:color="auto"/>
            </w:tcBorders>
          </w:tcPr>
          <w:p w14:paraId="72DDD866" w14:textId="041E0CC0" w:rsidR="00C45B6F" w:rsidRPr="00CB62C4" w:rsidRDefault="00C45B6F" w:rsidP="009222CA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4353724E" w14:textId="77777777" w:rsidR="00C45B6F" w:rsidRPr="00CB62C4" w:rsidRDefault="00C45B6F" w:rsidP="00C45B6F">
            <w:pPr>
              <w:spacing w:before="120"/>
              <w:rPr>
                <w:szCs w:val="24"/>
              </w:rPr>
            </w:pPr>
            <w:r w:rsidRPr="00CB62C4">
              <w:rPr>
                <w:bCs/>
                <w:szCs w:val="24"/>
              </w:rPr>
              <w:t>Vyšetření predispozice k revmatoidní artritidě (sdílený epitop HLA-DRB1)</w:t>
            </w:r>
          </w:p>
        </w:tc>
      </w:tr>
      <w:tr w:rsidR="00C45B6F" w14:paraId="1060B2EE" w14:textId="77777777" w:rsidTr="00C45B6F">
        <w:tc>
          <w:tcPr>
            <w:tcW w:w="1047" w:type="dxa"/>
            <w:tcBorders>
              <w:left w:val="double" w:sz="4" w:space="0" w:color="auto"/>
            </w:tcBorders>
          </w:tcPr>
          <w:p w14:paraId="1E9B0357" w14:textId="4533CB14" w:rsidR="00C45B6F" w:rsidRPr="00CB62C4" w:rsidRDefault="00C45B6F" w:rsidP="00C45B6F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3BDBD92D" w14:textId="77777777" w:rsidR="00EC54E1" w:rsidRPr="00CB62C4" w:rsidRDefault="00C45B6F" w:rsidP="00C45B6F">
            <w:pPr>
              <w:spacing w:before="120"/>
              <w:rPr>
                <w:bCs/>
                <w:color w:val="00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>Metabolismus mědi (</w:t>
            </w:r>
            <w:r w:rsidRPr="00CB62C4">
              <w:rPr>
                <w:bCs/>
                <w:i/>
                <w:color w:val="000000"/>
                <w:szCs w:val="24"/>
              </w:rPr>
              <w:t>ATP7B</w:t>
            </w:r>
            <w:r w:rsidRPr="00CB62C4">
              <w:rPr>
                <w:bCs/>
                <w:color w:val="000000"/>
                <w:szCs w:val="24"/>
              </w:rPr>
              <w:t xml:space="preserve"> - exony 3, 8, 14, 15 a 17); </w:t>
            </w:r>
          </w:p>
          <w:p w14:paraId="7C277281" w14:textId="77777777" w:rsidR="00C45B6F" w:rsidRPr="00CB62C4" w:rsidRDefault="00C45B6F" w:rsidP="00C45B6F">
            <w:pPr>
              <w:spacing w:before="120"/>
              <w:rPr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Prelinguální hluchota, nesyndromální (gen </w:t>
            </w:r>
            <w:r w:rsidRPr="00CB62C4">
              <w:rPr>
                <w:bCs/>
                <w:i/>
                <w:color w:val="000000"/>
                <w:szCs w:val="24"/>
              </w:rPr>
              <w:t>GJB2</w:t>
            </w:r>
            <w:r w:rsidRPr="00CB62C4">
              <w:rPr>
                <w:bCs/>
                <w:color w:val="000000"/>
                <w:szCs w:val="24"/>
              </w:rPr>
              <w:t>)</w:t>
            </w:r>
          </w:p>
        </w:tc>
      </w:tr>
      <w:tr w:rsidR="00C45B6F" w14:paraId="159D2ACB" w14:textId="77777777" w:rsidTr="00C45B6F">
        <w:tc>
          <w:tcPr>
            <w:tcW w:w="1047" w:type="dxa"/>
            <w:tcBorders>
              <w:left w:val="double" w:sz="4" w:space="0" w:color="auto"/>
            </w:tcBorders>
          </w:tcPr>
          <w:p w14:paraId="68BD15DF" w14:textId="77777777" w:rsidR="00C45B6F" w:rsidRPr="00CB62C4" w:rsidRDefault="00C45B6F" w:rsidP="009222CA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C54E7F9" w14:textId="77777777" w:rsidR="009222CA" w:rsidRPr="00CB62C4" w:rsidRDefault="00C45B6F" w:rsidP="00C45B6F">
            <w:pPr>
              <w:spacing w:before="120"/>
              <w:rPr>
                <w:bCs/>
                <w:color w:val="FF0000"/>
                <w:szCs w:val="24"/>
              </w:rPr>
            </w:pPr>
            <w:r w:rsidRPr="00CB62C4">
              <w:rPr>
                <w:bCs/>
                <w:color w:val="000000"/>
                <w:szCs w:val="24"/>
              </w:rPr>
              <w:t xml:space="preserve">Spinální muskulární atrofie (delece/duplikace exonů 7 a 8 v genech </w:t>
            </w:r>
            <w:r w:rsidRPr="00CB62C4">
              <w:rPr>
                <w:bCs/>
                <w:i/>
                <w:color w:val="000000"/>
                <w:szCs w:val="24"/>
              </w:rPr>
              <w:t xml:space="preserve">SMN1 </w:t>
            </w:r>
            <w:r w:rsidRPr="00CB62C4">
              <w:rPr>
                <w:bCs/>
                <w:color w:val="000000"/>
                <w:szCs w:val="24"/>
              </w:rPr>
              <w:t>a</w:t>
            </w:r>
            <w:r w:rsidRPr="00CB62C4">
              <w:rPr>
                <w:bCs/>
                <w:i/>
                <w:color w:val="000000"/>
                <w:szCs w:val="24"/>
              </w:rPr>
              <w:t xml:space="preserve"> SMN2</w:t>
            </w:r>
            <w:r w:rsidRPr="00CB62C4">
              <w:rPr>
                <w:bCs/>
                <w:color w:val="000000"/>
                <w:szCs w:val="24"/>
              </w:rPr>
              <w:t>);</w:t>
            </w:r>
            <w:r w:rsidRPr="00CB62C4">
              <w:rPr>
                <w:bCs/>
                <w:color w:val="FF0000"/>
                <w:szCs w:val="24"/>
              </w:rPr>
              <w:t xml:space="preserve"> </w:t>
            </w:r>
          </w:p>
          <w:p w14:paraId="40542901" w14:textId="77777777" w:rsidR="009222CA" w:rsidRPr="00CB62C4" w:rsidRDefault="00C45B6F" w:rsidP="00C45B6F">
            <w:pPr>
              <w:spacing w:before="120"/>
              <w:rPr>
                <w:bCs/>
                <w:szCs w:val="24"/>
              </w:rPr>
            </w:pPr>
            <w:r w:rsidRPr="00CB62C4">
              <w:rPr>
                <w:bCs/>
                <w:szCs w:val="24"/>
              </w:rPr>
              <w:t xml:space="preserve">Detekce delecí a duplikací v genu </w:t>
            </w:r>
            <w:r w:rsidRPr="00CB62C4">
              <w:rPr>
                <w:bCs/>
                <w:i/>
                <w:szCs w:val="24"/>
              </w:rPr>
              <w:t>BRCA1</w:t>
            </w:r>
            <w:r w:rsidRPr="00CB62C4">
              <w:rPr>
                <w:bCs/>
                <w:szCs w:val="24"/>
              </w:rPr>
              <w:t>;</w:t>
            </w:r>
          </w:p>
          <w:p w14:paraId="61E9A153" w14:textId="6B6F6A82" w:rsidR="00C45B6F" w:rsidRPr="00CB62C4" w:rsidRDefault="00C45B6F" w:rsidP="00EC54E1">
            <w:pPr>
              <w:spacing w:before="120"/>
              <w:rPr>
                <w:bCs/>
                <w:i/>
                <w:szCs w:val="24"/>
              </w:rPr>
            </w:pPr>
            <w:r w:rsidRPr="00CB62C4">
              <w:rPr>
                <w:bCs/>
                <w:szCs w:val="24"/>
              </w:rPr>
              <w:t xml:space="preserve">Detekce delecí a duplikací v genech </w:t>
            </w:r>
            <w:r w:rsidRPr="00CB62C4">
              <w:rPr>
                <w:bCs/>
                <w:i/>
                <w:szCs w:val="24"/>
              </w:rPr>
              <w:t>BRCA2/CHEK2</w:t>
            </w:r>
            <w:r w:rsidR="00CB62C4">
              <w:rPr>
                <w:bCs/>
                <w:i/>
                <w:szCs w:val="24"/>
              </w:rPr>
              <w:t>;</w:t>
            </w:r>
          </w:p>
          <w:p w14:paraId="77B5D444" w14:textId="30EEFFA7" w:rsidR="00CB62C4" w:rsidRPr="00CB62C4" w:rsidRDefault="00CB62C4" w:rsidP="00EC54E1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 xml:space="preserve">Detekce delecí a duplikací v genech genech </w:t>
            </w:r>
            <w:r w:rsidRPr="00CB62C4">
              <w:rPr>
                <w:i/>
                <w:szCs w:val="24"/>
              </w:rPr>
              <w:t>EPCAM</w:t>
            </w:r>
            <w:r w:rsidRPr="00CB62C4">
              <w:rPr>
                <w:szCs w:val="24"/>
              </w:rPr>
              <w:t xml:space="preserve">, </w:t>
            </w:r>
            <w:r w:rsidRPr="00CB62C4">
              <w:rPr>
                <w:i/>
                <w:szCs w:val="24"/>
              </w:rPr>
              <w:t>MSH2</w:t>
            </w:r>
            <w:r w:rsidRPr="00CB62C4">
              <w:rPr>
                <w:szCs w:val="24"/>
              </w:rPr>
              <w:t xml:space="preserve">, </w:t>
            </w:r>
            <w:r w:rsidRPr="00CB62C4">
              <w:rPr>
                <w:i/>
                <w:szCs w:val="24"/>
              </w:rPr>
              <w:t>MLH1</w:t>
            </w:r>
            <w:r w:rsidRPr="00CB62C4">
              <w:rPr>
                <w:szCs w:val="24"/>
              </w:rPr>
              <w:t xml:space="preserve">, </w:t>
            </w:r>
            <w:r w:rsidRPr="00CB62C4">
              <w:rPr>
                <w:i/>
                <w:szCs w:val="24"/>
              </w:rPr>
              <w:t>PMS2</w:t>
            </w:r>
            <w:r w:rsidRPr="00CB62C4">
              <w:rPr>
                <w:szCs w:val="24"/>
              </w:rPr>
              <w:t xml:space="preserve">, </w:t>
            </w:r>
            <w:r w:rsidRPr="00CB62C4">
              <w:rPr>
                <w:i/>
                <w:szCs w:val="24"/>
              </w:rPr>
              <w:t>MUTYH</w:t>
            </w:r>
            <w:r w:rsidRPr="00CB62C4">
              <w:rPr>
                <w:szCs w:val="24"/>
              </w:rPr>
              <w:t xml:space="preserve"> a </w:t>
            </w:r>
            <w:r w:rsidRPr="00CB62C4">
              <w:rPr>
                <w:i/>
                <w:szCs w:val="24"/>
              </w:rPr>
              <w:t>MSH6</w:t>
            </w:r>
            <w:r w:rsidRPr="00CB62C4">
              <w:rPr>
                <w:szCs w:val="24"/>
              </w:rPr>
              <w:t xml:space="preserve"> metodou MLPA</w:t>
            </w:r>
          </w:p>
        </w:tc>
      </w:tr>
      <w:tr w:rsidR="00C45B6F" w14:paraId="29E4EBD2" w14:textId="77777777" w:rsidTr="00C45B6F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14:paraId="497F6B69" w14:textId="77777777" w:rsidR="00C45B6F" w:rsidRPr="00CB62C4" w:rsidRDefault="00C45B6F" w:rsidP="009222CA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816/</w:t>
            </w:r>
            <w:r w:rsidR="00FC0695" w:rsidRPr="00CB62C4">
              <w:rPr>
                <w:szCs w:val="24"/>
              </w:rPr>
              <w:t>8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14:paraId="384887CB" w14:textId="77777777" w:rsidR="00E006C3" w:rsidRPr="00CB62C4" w:rsidRDefault="00C45B6F" w:rsidP="00C45B6F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>Dědičný karcinom prsu a ovárií (geny</w:t>
            </w:r>
            <w:r w:rsidRPr="00CB62C4">
              <w:rPr>
                <w:i/>
                <w:szCs w:val="24"/>
              </w:rPr>
              <w:t xml:space="preserve"> BRCA1 a BRCA2</w:t>
            </w:r>
            <w:r w:rsidR="00E006C3" w:rsidRPr="00CB62C4">
              <w:rPr>
                <w:szCs w:val="24"/>
              </w:rPr>
              <w:t>);</w:t>
            </w:r>
          </w:p>
          <w:p w14:paraId="518E38C2" w14:textId="77777777" w:rsidR="00E006C3" w:rsidRPr="00CB62C4" w:rsidRDefault="00E006C3" w:rsidP="00E006C3">
            <w:pPr>
              <w:spacing w:line="276" w:lineRule="auto"/>
              <w:ind w:right="140"/>
              <w:rPr>
                <w:szCs w:val="24"/>
              </w:rPr>
            </w:pPr>
            <w:r w:rsidRPr="00CB62C4">
              <w:rPr>
                <w:szCs w:val="24"/>
              </w:rPr>
              <w:t>Dědičný karcinom prsu a vaječníků - NGS panel 21 genů (</w:t>
            </w:r>
            <w:r w:rsidRPr="00CB62C4">
              <w:rPr>
                <w:i/>
                <w:szCs w:val="24"/>
              </w:rPr>
              <w:t>ATM, BARD1, BRCA1, BRCA2, BRIP1, CDH1, CDK12, FAM175A, FANCD2, CHEK2, MRE11, MSH6, NBN, PALB2, PMS2, RAD51B, RAD54L, TP53, RAD50, RAD51C, RAD51D</w:t>
            </w:r>
            <w:r w:rsidRPr="00CB62C4">
              <w:rPr>
                <w:szCs w:val="24"/>
              </w:rPr>
              <w:t>);</w:t>
            </w:r>
          </w:p>
          <w:p w14:paraId="5824454A" w14:textId="77777777" w:rsidR="00E006C3" w:rsidRPr="00CB62C4" w:rsidRDefault="00E006C3" w:rsidP="00E006C3">
            <w:pPr>
              <w:spacing w:line="276" w:lineRule="auto"/>
              <w:ind w:right="140"/>
              <w:rPr>
                <w:szCs w:val="24"/>
              </w:rPr>
            </w:pPr>
            <w:r w:rsidRPr="00CB62C4">
              <w:rPr>
                <w:szCs w:val="24"/>
              </w:rPr>
              <w:t>Dědičný karcinom prostaty - NGS panel 26 genů (</w:t>
            </w:r>
            <w:r w:rsidRPr="00CB62C4">
              <w:rPr>
                <w:i/>
                <w:szCs w:val="24"/>
              </w:rPr>
              <w:t>AKT1, APC, AR, ATM, BRAF, BRCA1, BRCA2, CDH1, CDK12, CTNNB1, HOXB13, CHEK2, IDH1, KRAS, MED12, MLH1, MSH2, MSH6, MYC, PIK3CA, PIK3R1, PMS2, PTEN, RB1, SPOP, TP53</w:t>
            </w:r>
            <w:r w:rsidRPr="00CB62C4">
              <w:rPr>
                <w:szCs w:val="24"/>
              </w:rPr>
              <w:t>);</w:t>
            </w:r>
          </w:p>
          <w:p w14:paraId="0283076C" w14:textId="77777777" w:rsidR="00E006C3" w:rsidRPr="00CB62C4" w:rsidRDefault="00E006C3" w:rsidP="00E006C3">
            <w:pPr>
              <w:spacing w:line="276" w:lineRule="auto"/>
              <w:ind w:right="140"/>
              <w:rPr>
                <w:szCs w:val="24"/>
              </w:rPr>
            </w:pPr>
            <w:r w:rsidRPr="00CB62C4">
              <w:rPr>
                <w:szCs w:val="24"/>
              </w:rPr>
              <w:t>Kolorektální karcinom a karcinom pankreatu - NGS panel 13 genů (</w:t>
            </w:r>
            <w:r w:rsidRPr="00CB62C4">
              <w:rPr>
                <w:i/>
                <w:szCs w:val="24"/>
              </w:rPr>
              <w:t>APC, BRAF, CTNNB1, KRAS, MLH1, MSH2, MSH6, MYC, PIK3CA, PMS2, PTEN, STK11, TP53</w:t>
            </w:r>
            <w:r w:rsidRPr="00CB62C4">
              <w:rPr>
                <w:szCs w:val="24"/>
              </w:rPr>
              <w:t>);</w:t>
            </w:r>
          </w:p>
          <w:p w14:paraId="77C05E0C" w14:textId="77777777" w:rsidR="00C45B6F" w:rsidRPr="00CB62C4" w:rsidRDefault="00C45B6F" w:rsidP="00C45B6F">
            <w:pPr>
              <w:spacing w:before="120"/>
              <w:rPr>
                <w:szCs w:val="24"/>
              </w:rPr>
            </w:pPr>
            <w:r w:rsidRPr="00CB62C4">
              <w:rPr>
                <w:szCs w:val="24"/>
              </w:rPr>
              <w:t xml:space="preserve">NGS panel hereditárních nádorových syndromů </w:t>
            </w:r>
            <w:r w:rsidR="000C78F6" w:rsidRPr="00CB62C4">
              <w:rPr>
                <w:szCs w:val="24"/>
              </w:rPr>
              <w:t xml:space="preserve">– 50 genů </w:t>
            </w:r>
            <w:r w:rsidRPr="00CB62C4">
              <w:rPr>
                <w:szCs w:val="24"/>
              </w:rPr>
              <w:t>(</w:t>
            </w:r>
            <w:r w:rsidRPr="00CB62C4">
              <w:rPr>
                <w:i/>
                <w:szCs w:val="24"/>
              </w:rPr>
              <w:t>AKT1, APC, AR, ATM, ATR, BARD1, BLM, BRAF, BRCA1, BRCA2, BRIP1, CDH1, CDK12, CTNNB1, EPCAM, FAM175A, FANCD2, GATA3, GEN1, HOXB13, CHEK2, IDH1, KRAS, MED12, MLH1, MRE11, MSH2, MSH6, MUTYH, MYC, NBN, NF1, PALB2, PIK3CA, PIK3R1, PMS2, PTEN, RAD50, RAD51B, RAD51C, RAD51D, RAD54L, RB1, RET, SPOP, STK11, TP53, VHL, WT1, XRCC2</w:t>
            </w:r>
            <w:r w:rsidRPr="00CB62C4">
              <w:rPr>
                <w:szCs w:val="24"/>
              </w:rPr>
              <w:t>)</w:t>
            </w:r>
          </w:p>
        </w:tc>
      </w:tr>
    </w:tbl>
    <w:p w14:paraId="4E37B2A0" w14:textId="77777777"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</w:p>
    <w:p w14:paraId="49CC8E13" w14:textId="77777777"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14:paraId="47734299" w14:textId="77777777"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14:paraId="2BCEBD4D" w14:textId="77777777" w:rsidR="00194D8F" w:rsidRDefault="00194D8F" w:rsidP="00194D8F">
      <w:pPr>
        <w:spacing w:before="120"/>
        <w:ind w:left="284"/>
        <w:rPr>
          <w:sz w:val="20"/>
        </w:rPr>
      </w:pPr>
      <w:r w:rsidRPr="00901251">
        <w:rPr>
          <w:sz w:val="20"/>
        </w:rPr>
        <w:t>A – Flexibilita týkající se dokumentovaného postupu vyšetření</w:t>
      </w:r>
      <w:r w:rsidR="005E67E8">
        <w:rPr>
          <w:sz w:val="20"/>
        </w:rPr>
        <w:t xml:space="preserve"> / odběru</w:t>
      </w:r>
    </w:p>
    <w:p w14:paraId="35410505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14:paraId="1A6A66B0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14:paraId="7EF2278E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14:paraId="2AE46694" w14:textId="77777777"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14:paraId="173FF623" w14:textId="77777777" w:rsidR="006B556F" w:rsidRDefault="006B556F" w:rsidP="00194D8F">
      <w:pPr>
        <w:spacing w:before="120"/>
        <w:ind w:left="284" w:hanging="284"/>
        <w:rPr>
          <w:sz w:val="20"/>
        </w:rPr>
      </w:pPr>
    </w:p>
    <w:p w14:paraId="0BD2634D" w14:textId="77777777" w:rsidR="00194D8F" w:rsidRDefault="009222CA" w:rsidP="00194D8F">
      <w:pPr>
        <w:spacing w:before="120"/>
        <w:ind w:left="284" w:hanging="284"/>
        <w:rPr>
          <w:sz w:val="20"/>
        </w:rPr>
      </w:pPr>
      <w:r w:rsidRPr="009222CA">
        <w:rPr>
          <w:sz w:val="20"/>
        </w:rPr>
        <w:t>Real-Time PCR</w:t>
      </w:r>
      <w:r w:rsidR="006B556F">
        <w:rPr>
          <w:sz w:val="20"/>
        </w:rPr>
        <w:tab/>
        <w:t xml:space="preserve">Polymerázová řetězová reakce v reálném čase </w:t>
      </w:r>
    </w:p>
    <w:p w14:paraId="2138387F" w14:textId="77777777" w:rsidR="009222CA" w:rsidRDefault="009222CA" w:rsidP="006B556F">
      <w:pPr>
        <w:spacing w:before="120"/>
        <w:rPr>
          <w:sz w:val="20"/>
        </w:rPr>
      </w:pPr>
      <w:r w:rsidRPr="009222CA">
        <w:rPr>
          <w:sz w:val="20"/>
        </w:rPr>
        <w:t>MLPA</w:t>
      </w:r>
      <w:r w:rsidR="006B556F">
        <w:rPr>
          <w:sz w:val="20"/>
        </w:rPr>
        <w:tab/>
      </w:r>
      <w:r w:rsidR="006B556F">
        <w:rPr>
          <w:sz w:val="20"/>
        </w:rPr>
        <w:tab/>
      </w:r>
      <w:r w:rsidR="006B556F" w:rsidRPr="00A1589A">
        <w:rPr>
          <w:sz w:val="20"/>
        </w:rPr>
        <w:t>Multiplex ligation-dependent probe amplification</w:t>
      </w:r>
      <w:r w:rsidR="006B556F">
        <w:rPr>
          <w:sz w:val="20"/>
        </w:rPr>
        <w:tab/>
      </w:r>
    </w:p>
    <w:p w14:paraId="04DC2A78" w14:textId="77777777" w:rsidR="009222CA" w:rsidRDefault="009222CA" w:rsidP="00194D8F">
      <w:pPr>
        <w:spacing w:before="120"/>
        <w:ind w:left="284" w:hanging="284"/>
        <w:rPr>
          <w:sz w:val="20"/>
        </w:rPr>
      </w:pPr>
      <w:r>
        <w:rPr>
          <w:sz w:val="20"/>
        </w:rPr>
        <w:t>NGS-MPS</w:t>
      </w:r>
      <w:r w:rsidR="006B556F">
        <w:rPr>
          <w:sz w:val="20"/>
        </w:rPr>
        <w:tab/>
        <w:t>Sekvenování nové generace – masivně paralelní sekvenování</w:t>
      </w:r>
    </w:p>
    <w:p w14:paraId="0D55F844" w14:textId="77777777" w:rsidR="009222CA" w:rsidRDefault="009222CA" w:rsidP="00194D8F">
      <w:pPr>
        <w:spacing w:before="120"/>
        <w:ind w:left="284" w:hanging="284"/>
        <w:rPr>
          <w:sz w:val="20"/>
        </w:rPr>
      </w:pPr>
      <w:r>
        <w:rPr>
          <w:sz w:val="20"/>
        </w:rPr>
        <w:t>PCR</w:t>
      </w:r>
      <w:r w:rsidR="006B556F">
        <w:rPr>
          <w:sz w:val="20"/>
        </w:rPr>
        <w:tab/>
      </w:r>
      <w:r w:rsidR="006B556F">
        <w:rPr>
          <w:sz w:val="20"/>
        </w:rPr>
        <w:tab/>
        <w:t>Polymerázová řetězová reakce</w:t>
      </w:r>
    </w:p>
    <w:sectPr w:rsidR="009222CA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A8BFA" w14:textId="77777777" w:rsidR="00DB2E47" w:rsidRDefault="00DB2E47">
      <w:r>
        <w:separator/>
      </w:r>
    </w:p>
  </w:endnote>
  <w:endnote w:type="continuationSeparator" w:id="0">
    <w:p w14:paraId="14493705" w14:textId="77777777" w:rsidR="00DB2E47" w:rsidRDefault="00DB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tzerlandCondensed-CE-Bold">
    <w:altName w:val="Times New Roman"/>
    <w:panose1 w:val="00000000000000000000"/>
    <w:charset w:val="00"/>
    <w:family w:val="roman"/>
    <w:notTrueType/>
    <w:pitch w:val="default"/>
  </w:font>
  <w:font w:name="SwitzerlandCondensed-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406C3" w14:textId="442AE964" w:rsidR="0084637E" w:rsidRDefault="0027607B">
    <w:r w:rsidRPr="0027607B">
      <w:rPr>
        <w:sz w:val="16"/>
        <w:szCs w:val="16"/>
      </w:rPr>
      <w:ptab w:relativeTo="margin" w:alignment="center" w:leader="none"/>
    </w:r>
    <w:r w:rsidR="00A7261F"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4E4256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4E4256">
      <w:rPr>
        <w:b/>
        <w:bCs/>
        <w:noProof/>
        <w:sz w:val="16"/>
        <w:szCs w:val="16"/>
      </w:rPr>
      <w:t>4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67AC" w14:textId="77777777" w:rsidR="00236524" w:rsidRDefault="003D707F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59810541" w14:textId="77777777" w:rsidR="00236524" w:rsidRDefault="003D707F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A7261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A7261F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A6B1" w14:textId="77777777" w:rsidR="00DB2E47" w:rsidRDefault="00DB2E47">
      <w:r>
        <w:separator/>
      </w:r>
    </w:p>
  </w:footnote>
  <w:footnote w:type="continuationSeparator" w:id="0">
    <w:p w14:paraId="62A72531" w14:textId="77777777" w:rsidR="00DB2E47" w:rsidRDefault="00DB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D8A4" w14:textId="77777777" w:rsidR="007E4D90" w:rsidRDefault="0016390D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EEBCD" wp14:editId="6138CD92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14:paraId="09BAFD53" w14:textId="77777777" w:rsidR="0027607B" w:rsidRDefault="0027607B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65950249" w14:textId="77777777" w:rsidR="00236524" w:rsidRDefault="0099151C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14:paraId="2085A002" w14:textId="77777777" w:rsidR="00174015" w:rsidRPr="0099151C" w:rsidRDefault="00174015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D10B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341C5E9A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249D4224"/>
    <w:multiLevelType w:val="multilevel"/>
    <w:tmpl w:val="37EA7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8"/>
  </w:num>
  <w:num w:numId="7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24"/>
    <w:rsid w:val="00022E7B"/>
    <w:rsid w:val="00031352"/>
    <w:rsid w:val="0006126A"/>
    <w:rsid w:val="000C303A"/>
    <w:rsid w:val="000C78F6"/>
    <w:rsid w:val="000D1C59"/>
    <w:rsid w:val="0012222C"/>
    <w:rsid w:val="0016390D"/>
    <w:rsid w:val="00174015"/>
    <w:rsid w:val="00194D8F"/>
    <w:rsid w:val="00196F24"/>
    <w:rsid w:val="001A3482"/>
    <w:rsid w:val="001B0CAD"/>
    <w:rsid w:val="001B2C8E"/>
    <w:rsid w:val="001B6AB2"/>
    <w:rsid w:val="001E302B"/>
    <w:rsid w:val="001E7F57"/>
    <w:rsid w:val="00200806"/>
    <w:rsid w:val="00226CE5"/>
    <w:rsid w:val="00236524"/>
    <w:rsid w:val="00246C15"/>
    <w:rsid w:val="0027607B"/>
    <w:rsid w:val="002A01D1"/>
    <w:rsid w:val="002A169B"/>
    <w:rsid w:val="00310C55"/>
    <w:rsid w:val="003D707F"/>
    <w:rsid w:val="003F1A5C"/>
    <w:rsid w:val="003F73D2"/>
    <w:rsid w:val="00401B50"/>
    <w:rsid w:val="00407178"/>
    <w:rsid w:val="00465769"/>
    <w:rsid w:val="004D4CFF"/>
    <w:rsid w:val="004E238A"/>
    <w:rsid w:val="004E4256"/>
    <w:rsid w:val="00515A76"/>
    <w:rsid w:val="00525FC7"/>
    <w:rsid w:val="00543460"/>
    <w:rsid w:val="005517F8"/>
    <w:rsid w:val="005609B9"/>
    <w:rsid w:val="00582099"/>
    <w:rsid w:val="005A2F7B"/>
    <w:rsid w:val="005A3964"/>
    <w:rsid w:val="005E67E8"/>
    <w:rsid w:val="00665DCC"/>
    <w:rsid w:val="006A49C7"/>
    <w:rsid w:val="006B556F"/>
    <w:rsid w:val="006E597D"/>
    <w:rsid w:val="007167D7"/>
    <w:rsid w:val="007231FE"/>
    <w:rsid w:val="0072403E"/>
    <w:rsid w:val="007331E0"/>
    <w:rsid w:val="0074231E"/>
    <w:rsid w:val="00763CB3"/>
    <w:rsid w:val="00790FDC"/>
    <w:rsid w:val="00792A15"/>
    <w:rsid w:val="007B0AB8"/>
    <w:rsid w:val="007B0E94"/>
    <w:rsid w:val="007E4D90"/>
    <w:rsid w:val="00827587"/>
    <w:rsid w:val="0084637E"/>
    <w:rsid w:val="0085120E"/>
    <w:rsid w:val="00853BB6"/>
    <w:rsid w:val="008714EA"/>
    <w:rsid w:val="00891F12"/>
    <w:rsid w:val="008A09EE"/>
    <w:rsid w:val="008A41D5"/>
    <w:rsid w:val="008F667A"/>
    <w:rsid w:val="00901251"/>
    <w:rsid w:val="009222CA"/>
    <w:rsid w:val="009456A8"/>
    <w:rsid w:val="00971950"/>
    <w:rsid w:val="0099151C"/>
    <w:rsid w:val="009F107B"/>
    <w:rsid w:val="00A137B7"/>
    <w:rsid w:val="00A30A98"/>
    <w:rsid w:val="00A57D7A"/>
    <w:rsid w:val="00A718B4"/>
    <w:rsid w:val="00A7261F"/>
    <w:rsid w:val="00AC695E"/>
    <w:rsid w:val="00B10029"/>
    <w:rsid w:val="00B4215B"/>
    <w:rsid w:val="00B65F3E"/>
    <w:rsid w:val="00C23805"/>
    <w:rsid w:val="00C369D1"/>
    <w:rsid w:val="00C45B6F"/>
    <w:rsid w:val="00C63C3F"/>
    <w:rsid w:val="00CB08B4"/>
    <w:rsid w:val="00CB62C4"/>
    <w:rsid w:val="00CB63FD"/>
    <w:rsid w:val="00CC4564"/>
    <w:rsid w:val="00CE1A72"/>
    <w:rsid w:val="00CE7C77"/>
    <w:rsid w:val="00D326D6"/>
    <w:rsid w:val="00D418D9"/>
    <w:rsid w:val="00D42890"/>
    <w:rsid w:val="00D565A9"/>
    <w:rsid w:val="00D75D93"/>
    <w:rsid w:val="00D834E0"/>
    <w:rsid w:val="00DB2E47"/>
    <w:rsid w:val="00DF7A77"/>
    <w:rsid w:val="00E006C3"/>
    <w:rsid w:val="00E368A9"/>
    <w:rsid w:val="00E3773F"/>
    <w:rsid w:val="00E41659"/>
    <w:rsid w:val="00E771A5"/>
    <w:rsid w:val="00EC54E1"/>
    <w:rsid w:val="00F0335E"/>
    <w:rsid w:val="00F85698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EC6D7"/>
  <w14:defaultImageDpi w14:val="96"/>
  <w15:docId w15:val="{5A290008-8CDF-4C50-88A3-5290B6F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styleId="Normlnweb">
    <w:name w:val="Normal (Web)"/>
    <w:basedOn w:val="Normln"/>
    <w:uiPriority w:val="99"/>
    <w:unhideWhenUsed/>
    <w:rsid w:val="00C45B6F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01">
    <w:name w:val="fontstyle01"/>
    <w:basedOn w:val="Standardnpsmoodstavce"/>
    <w:rsid w:val="00E368A9"/>
    <w:rPr>
      <w:rFonts w:ascii="SwitzerlandCondensed-CE-Bold" w:hAnsi="SwitzerlandCondensed-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Standardnpsmoodstavce"/>
    <w:rsid w:val="00E368A9"/>
    <w:rPr>
      <w:rFonts w:ascii="SwitzerlandCondensed-CE" w:hAnsi="SwitzerlandCondensed-CE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3235AED8A2B4CA212A319CA9EBCC2" ma:contentTypeVersion="15" ma:contentTypeDescription="Vytvoří nový dokument" ma:contentTypeScope="" ma:versionID="6d0147e38e309e9e4df2419fd5639b28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e4aaadb26f37072e97249d2ee19f6955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7DA5-D277-4C75-B7BD-E17D2A23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a8812-ceb7-4af3-b3ae-59c3288368b4"/>
    <ds:schemaRef ds:uri="15c16945-5bbe-4058-a853-acc3039b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675B5-40EC-4FF1-BD74-3DD1F6393EA3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dc:description>P508_M</dc:description>
  <cp:lastModifiedBy>Ištvánek Jan</cp:lastModifiedBy>
  <cp:revision>9</cp:revision>
  <cp:lastPrinted>2005-05-12T11:44:00Z</cp:lastPrinted>
  <dcterms:created xsi:type="dcterms:W3CDTF">2024-05-31T08:21:00Z</dcterms:created>
  <dcterms:modified xsi:type="dcterms:W3CDTF">2024-05-31T10:23:00Z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